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Relevancy Admissions and Statements a matter involving electronic records and digital material</w:t>
      </w:r>
    </w:p>
    <w:p>
      <w:pPr>
        <w:spacing w:before="0" w:after="160" w:line="269" w:lineRule="auto"/>
        <w:jc w:val="center"/>
      </w:pPr>
      <w:r>
        <w:rPr>
          <w:rFonts w:ascii="Times New Roman" w:hAnsi="Times New Roman"/>
          <w:b w:val="0"/>
          <w:i w:val="0"/>
          <w:color w:val="000000"/>
          <w:sz w:val="18"/>
        </w:rPr>
        <w:t>BSA Law drafts  |  Relevancy Admissions and Statements  |  Resource ID LAW-03-02-027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Relevancy Admissions and Statements.</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LAW-03-02-027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Relevancy Admissions and Statements a matter involving electronic records and digital material</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